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Pr="00E57C18" w:rsidRDefault="00E57C18" w:rsidP="00E57C18">
      <w:pPr>
        <w:tabs>
          <w:tab w:val="left" w:pos="426"/>
          <w:tab w:val="left" w:pos="851"/>
        </w:tabs>
        <w:jc w:val="center"/>
        <w:rPr>
          <w:rFonts w:ascii="Arial" w:hAnsi="Arial" w:cs="Arial"/>
          <w:b/>
          <w:lang w:val="en-GB"/>
        </w:rPr>
      </w:pPr>
      <w:r>
        <w:rPr>
          <w:rFonts w:ascii="Arial" w:hAnsi="Arial" w:cs="Arial"/>
          <w:b/>
          <w:lang w:val="en-GB"/>
        </w:rPr>
        <w:t xml:space="preserve">Ght_EFG_2026-042_AOO_Mad Fauteuils </w:t>
      </w:r>
      <w:proofErr w:type="spellStart"/>
      <w:r>
        <w:rPr>
          <w:rFonts w:ascii="Arial" w:hAnsi="Arial" w:cs="Arial"/>
          <w:b/>
          <w:lang w:val="en-GB"/>
        </w:rPr>
        <w:t>Roulants</w:t>
      </w:r>
      <w:proofErr w:type="spellEnd"/>
      <w:r>
        <w:rPr>
          <w:rFonts w:ascii="Arial" w:hAnsi="Arial" w:cs="Arial"/>
          <w:b/>
          <w:lang w:val="en-GB"/>
        </w:rPr>
        <w:t xml:space="preserve"> Libre-</w:t>
      </w:r>
      <w:proofErr w:type="spellStart"/>
      <w:r>
        <w:rPr>
          <w:rFonts w:ascii="Arial" w:hAnsi="Arial" w:cs="Arial"/>
          <w:b/>
          <w:lang w:val="en-GB"/>
        </w:rPr>
        <w:t>Service_CHU</w:t>
      </w:r>
      <w:bookmarkStart w:id="0" w:name="_GoBack"/>
      <w:bookmarkEnd w:id="0"/>
      <w:proofErr w:type="spellEnd"/>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w:t>
      </w:r>
      <w:proofErr w:type="gramStart"/>
      <w:r w:rsidRPr="00AB0E45">
        <w:rPr>
          <w:rFonts w:cstheme="minorHAnsi"/>
          <w:bCs/>
        </w:rPr>
        <w:t>du</w:t>
      </w:r>
      <w:proofErr w:type="gramEnd"/>
      <w:r w:rsidRPr="00AB0E45">
        <w:rPr>
          <w:rFonts w:cstheme="minorHAnsi"/>
          <w:bCs/>
        </w:rPr>
        <w:t xml:space="preserve">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E57C18"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E57C18"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E57C18"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E57C18"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E57C18"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E57C18"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E57C18"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E57C18"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E57C18"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E57C18"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E57C18"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E57C18"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E57C18"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E57C18"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lastRenderedPageBreak/>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E57C18"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E57C18"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E57C18"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E57C18"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E57C18"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E57C18"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E57C18"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E57C18"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E57C18"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E57C18"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lastRenderedPageBreak/>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w:t>
      </w:r>
      <w:r>
        <w:lastRenderedPageBreak/>
        <w:t xml:space="preserve">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E57C18"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lastRenderedPageBreak/>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912BB"/>
    <w:rsid w:val="005A6132"/>
    <w:rsid w:val="006D37A2"/>
    <w:rsid w:val="006D3A74"/>
    <w:rsid w:val="00721173"/>
    <w:rsid w:val="00744D76"/>
    <w:rsid w:val="00782F81"/>
    <w:rsid w:val="007B5A0A"/>
    <w:rsid w:val="007E7A46"/>
    <w:rsid w:val="008056D8"/>
    <w:rsid w:val="008A1B88"/>
    <w:rsid w:val="008B6726"/>
    <w:rsid w:val="008C13D7"/>
    <w:rsid w:val="00952199"/>
    <w:rsid w:val="00971491"/>
    <w:rsid w:val="009E5AF3"/>
    <w:rsid w:val="00A27D82"/>
    <w:rsid w:val="00A93212"/>
    <w:rsid w:val="00AA1869"/>
    <w:rsid w:val="00AA4A87"/>
    <w:rsid w:val="00AC7350"/>
    <w:rsid w:val="00B0224C"/>
    <w:rsid w:val="00B414A6"/>
    <w:rsid w:val="00B75D2A"/>
    <w:rsid w:val="00BA5573"/>
    <w:rsid w:val="00CB1B76"/>
    <w:rsid w:val="00D16DF8"/>
    <w:rsid w:val="00D47305"/>
    <w:rsid w:val="00D622ED"/>
    <w:rsid w:val="00DD3CDD"/>
    <w:rsid w:val="00E57C18"/>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8C211"/>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51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4C8AD-932D-4E22-B5EE-87BE6516C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3284</Words>
  <Characters>18063</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2025-05-30T11:37:00Z</dcterms:created>
  <dcterms:modified xsi:type="dcterms:W3CDTF">2026-02-09T12:34:00Z</dcterms:modified>
</cp:coreProperties>
</file>